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龙岩</w:t>
      </w:r>
      <w:r>
        <w:rPr>
          <w:rFonts w:hint="eastAsia" w:ascii="方正小标宋简体" w:eastAsia="方正小标宋简体"/>
          <w:bCs/>
          <w:sz w:val="44"/>
          <w:szCs w:val="44"/>
          <w:highlight w:val="none"/>
          <w:lang w:val="en-US" w:eastAsia="zh-CN"/>
        </w:rPr>
        <w:t>投资</w:t>
      </w: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发展集团有限公司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  <w:highlight w:val="none"/>
          <w:lang w:val="en-US" w:eastAsia="zh-CN"/>
        </w:rPr>
        <w:t>2024年度</w:t>
      </w: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中期票据比选报价函</w:t>
      </w:r>
    </w:p>
    <w:bookmarkEnd w:id="0"/>
    <w:p>
      <w:pPr>
        <w:spacing w:line="360" w:lineRule="auto"/>
        <w:jc w:val="lef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龙岩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投资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发展集团有限公司：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我司对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贵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司发行中期票据报价如下：</w:t>
      </w:r>
    </w:p>
    <w:tbl>
      <w:tblPr>
        <w:tblStyle w:val="3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2551"/>
        <w:gridCol w:w="4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项目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报价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承销费率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‰/年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承销费以年化率/千分比进行报价；承销费有效报价区间为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  <w:lang w:val="en-US" w:eastAsia="zh-CN"/>
              </w:rPr>
              <w:t>0.5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‰/年-1.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‰/年，（含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  <w:lang w:val="en-US" w:eastAsia="zh-CN"/>
              </w:rPr>
              <w:t>0.5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‰/年及1.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‰/年、超出作废）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eastAsia="zh-CN"/>
              </w:rPr>
              <w:t>承销费用支付方式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  <w:lang w:eastAsia="zh-CN"/>
              </w:rPr>
              <w:t>同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  <w:lang w:eastAsia="zh-CN"/>
              </w:rPr>
              <w:t>意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Wingdings 2" w:hAnsi="Wingdings 2" w:eastAsia="仿宋_GB2312" w:cs="Wingdings 2"/>
                <w:sz w:val="32"/>
                <w:szCs w:val="32"/>
                <w:highlight w:val="none"/>
                <w:u w:val="single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不 同 意 </w:t>
            </w:r>
            <w:r>
              <w:rPr>
                <w:rFonts w:hint="default" w:ascii="Wingdings 2" w:hAnsi="Wingdings 2" w:eastAsia="仿宋_GB2312" w:cs="Wingdings 2"/>
                <w:sz w:val="32"/>
                <w:szCs w:val="32"/>
                <w:highlight w:val="none"/>
                <w:u w:val="single"/>
                <w:lang w:eastAsia="zh-CN"/>
              </w:rPr>
              <w:sym w:font="Wingdings 2" w:char="00A3"/>
            </w:r>
          </w:p>
        </w:tc>
        <w:tc>
          <w:tcPr>
            <w:tcW w:w="449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发行期限含权情况下，固定承销费是否分期支付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发行规模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亿元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发行期限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  <w:t>年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注：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递交本报价函视为同意附件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1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方案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的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内容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联系人：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地  址：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电  话：</w:t>
      </w:r>
    </w:p>
    <w:p>
      <w:pPr>
        <w:ind w:firstLine="3360" w:firstLineChars="1050"/>
        <w:jc w:val="lef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公司（公章）</w:t>
      </w:r>
    </w:p>
    <w:p>
      <w:pPr>
        <w:ind w:firstLine="640" w:firstLineChars="200"/>
        <w:jc w:val="right"/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 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39B2DB5-F017-4BE6-AEFF-318AF2877CF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59030DC-9862-4C71-BF6E-F814CC13FD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94DA6E4-290F-4E20-B9C9-0C0CB7CC05C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FA3C1A05-0550-4EBF-A998-8199AE45E7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MjM3OTY3ZWYzMWViZDcyMGM4NWIyODJiZDcyYTEifQ=="/>
    <w:docVar w:name="KSO_WPS_MARK_KEY" w:val="a08084a0-dfc2-440e-9a9b-c54c566739fd"/>
  </w:docVars>
  <w:rsids>
    <w:rsidRoot w:val="00000000"/>
    <w:rsid w:val="3A536A8A"/>
    <w:rsid w:val="7E57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2021-05-11T08:59:00Z</dcterms:created>
  <dc:creator>Administrator</dc:creator>
  <cp:lastModifiedBy>钟洋宇</cp:lastModifiedBy>
  <dcterms:modified xsi:type="dcterms:W3CDTF">2024-05-13T08:11:43Z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E71B5ABA39804152885EF2367D4C3470</vt:lpwstr>
  </property>
</Properties>
</file>